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36AFE" w14:textId="76EF18D0" w:rsidR="00171D9A" w:rsidRDefault="00171D9A" w:rsidP="00D03CA0">
      <w:pPr>
        <w:jc w:val="center"/>
        <w:rPr>
          <w:rFonts w:ascii="Century Gothic" w:hAnsi="Century Gothic"/>
          <w:b/>
        </w:rPr>
      </w:pPr>
      <w:r>
        <w:rPr>
          <w:rFonts w:ascii="Century Gothic" w:hAnsi="Century Gothic"/>
          <w:b/>
        </w:rPr>
        <w:t>ANEXO I-A</w:t>
      </w:r>
    </w:p>
    <w:p w14:paraId="4D97E590" w14:textId="3E54FF3C" w:rsidR="00171D9A" w:rsidRDefault="00171D9A" w:rsidP="00D03CA0">
      <w:pPr>
        <w:jc w:val="center"/>
        <w:rPr>
          <w:rFonts w:ascii="Century Gothic" w:hAnsi="Century Gothic"/>
          <w:b/>
        </w:rPr>
      </w:pPr>
      <w:r>
        <w:rPr>
          <w:rFonts w:ascii="Century Gothic" w:hAnsi="Century Gothic"/>
          <w:b/>
        </w:rPr>
        <w:t>PARTIDA 6</w:t>
      </w:r>
    </w:p>
    <w:p w14:paraId="6300BFB2" w14:textId="77777777" w:rsidR="00D03CA0" w:rsidRPr="005E4983" w:rsidRDefault="00AA17D3" w:rsidP="00D03CA0">
      <w:pPr>
        <w:jc w:val="center"/>
        <w:rPr>
          <w:rFonts w:ascii="Century Gothic" w:hAnsi="Century Gothic"/>
          <w:b/>
        </w:rPr>
      </w:pPr>
      <w:r w:rsidRPr="005E4983">
        <w:rPr>
          <w:rFonts w:ascii="Century Gothic" w:hAnsi="Century Gothic"/>
          <w:b/>
        </w:rPr>
        <w:t>Equipamiento Motocicletas</w:t>
      </w:r>
    </w:p>
    <w:p w14:paraId="2EC6EDC6" w14:textId="191B7134" w:rsidR="009A377F" w:rsidRPr="005E4983" w:rsidRDefault="00AA17D3" w:rsidP="00D03CA0">
      <w:pPr>
        <w:jc w:val="center"/>
        <w:rPr>
          <w:rFonts w:ascii="Century Gothic" w:hAnsi="Century Gothic"/>
          <w:b/>
        </w:rPr>
      </w:pPr>
      <w:r w:rsidRPr="005E4983">
        <w:rPr>
          <w:rFonts w:ascii="Century Gothic" w:hAnsi="Century Gothic"/>
          <w:b/>
        </w:rPr>
        <w:t xml:space="preserve">Solicitud de compra </w:t>
      </w:r>
      <w:r w:rsidR="0034167C" w:rsidRPr="00747E99">
        <w:rPr>
          <w:rFonts w:ascii="Century Gothic" w:hAnsi="Century Gothic"/>
          <w:b/>
        </w:rPr>
        <w:t>SESESP</w:t>
      </w:r>
      <w:r w:rsidR="00747E99" w:rsidRPr="00747E99">
        <w:rPr>
          <w:rFonts w:ascii="Century Gothic" w:hAnsi="Century Gothic"/>
          <w:b/>
        </w:rPr>
        <w:t>-FOEST</w:t>
      </w:r>
      <w:r w:rsidR="0034167C" w:rsidRPr="00747E99">
        <w:rPr>
          <w:rFonts w:ascii="Century Gothic" w:hAnsi="Century Gothic"/>
          <w:b/>
        </w:rPr>
        <w:t xml:space="preserve"> </w:t>
      </w:r>
      <w:r w:rsidR="0034167C" w:rsidRPr="009945B9">
        <w:rPr>
          <w:rFonts w:ascii="Century Gothic" w:hAnsi="Century Gothic"/>
          <w:b/>
        </w:rPr>
        <w:t>00</w:t>
      </w:r>
      <w:r w:rsidR="009945B9" w:rsidRPr="009945B9">
        <w:rPr>
          <w:rFonts w:ascii="Century Gothic" w:hAnsi="Century Gothic"/>
          <w:b/>
        </w:rPr>
        <w:t>7</w:t>
      </w:r>
      <w:r w:rsidR="0034167C" w:rsidRPr="00747E99">
        <w:rPr>
          <w:rFonts w:ascii="Century Gothic" w:hAnsi="Century Gothic"/>
          <w:b/>
        </w:rPr>
        <w:t>-202</w:t>
      </w:r>
      <w:r w:rsidR="00747E99" w:rsidRPr="00747E99">
        <w:rPr>
          <w:rFonts w:ascii="Century Gothic" w:hAnsi="Century Gothic"/>
          <w:b/>
        </w:rPr>
        <w:t>4</w:t>
      </w:r>
      <w:r w:rsidR="0034167C" w:rsidRPr="005E4983">
        <w:rPr>
          <w:rFonts w:ascii="Century Gothic" w:hAnsi="Century Gothic"/>
          <w:b/>
        </w:rPr>
        <w:t xml:space="preserve"> </w:t>
      </w:r>
      <w:r w:rsidRPr="005E4983">
        <w:rPr>
          <w:rFonts w:ascii="Century Gothic" w:hAnsi="Century Gothic"/>
          <w:b/>
        </w:rPr>
        <w:t>Motocicletas equipadas como patrulla</w:t>
      </w:r>
    </w:p>
    <w:p w14:paraId="209CA42A" w14:textId="77777777" w:rsidR="00D03CA0" w:rsidRPr="005E4983" w:rsidRDefault="00AA17D3" w:rsidP="00D03CA0">
      <w:pPr>
        <w:jc w:val="both"/>
        <w:rPr>
          <w:rFonts w:ascii="Century Gothic" w:hAnsi="Century Gothic"/>
          <w:b/>
        </w:rPr>
      </w:pPr>
      <w:r w:rsidRPr="005E4983">
        <w:rPr>
          <w:rFonts w:ascii="Century Gothic" w:hAnsi="Century Gothic"/>
          <w:b/>
        </w:rPr>
        <w:t>Equipamiento</w:t>
      </w:r>
      <w:r w:rsidR="00D03CA0" w:rsidRPr="005E4983">
        <w:rPr>
          <w:rFonts w:ascii="Century Gothic" w:hAnsi="Century Gothic"/>
          <w:b/>
        </w:rPr>
        <w:t>:</w:t>
      </w:r>
    </w:p>
    <w:p w14:paraId="64995AD9"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Sirena con bocina para motopatrulla de 30 watts:</w:t>
      </w:r>
    </w:p>
    <w:p w14:paraId="6A3F2E57"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Sirena electrónica con bocina en una unidad compacta, resistente a la vibración, 30 watts de potencia, mínimo 3 tonos oficiales wail yelp y piercer, claxon de aire tipo “horn”, sistema de operación a manos libres desde los controles originales de la moto.</w:t>
      </w:r>
    </w:p>
    <w:p w14:paraId="14E1B4F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Incluye bocina y conectores especiales waterproof para su conexión.</w:t>
      </w:r>
    </w:p>
    <w:p w14:paraId="31E76CA0" w14:textId="59A89BD3" w:rsidR="00DD20C1" w:rsidRPr="005E4983" w:rsidRDefault="00453B39" w:rsidP="00DD20C1">
      <w:pPr>
        <w:shd w:val="clear" w:color="auto" w:fill="FFFFFF"/>
        <w:spacing w:line="240" w:lineRule="auto"/>
        <w:contextualSpacing/>
        <w:jc w:val="both"/>
        <w:rPr>
          <w:rFonts w:ascii="Century Gothic" w:hAnsi="Century Gothic"/>
          <w:bCs/>
          <w:color w:val="222222"/>
          <w:sz w:val="20"/>
          <w:szCs w:val="20"/>
          <w:lang w:eastAsia="es-MX"/>
        </w:rPr>
      </w:pPr>
      <w:r>
        <w:rPr>
          <w:rFonts w:ascii="Century Gothic" w:hAnsi="Century Gothic"/>
          <w:bCs/>
          <w:color w:val="222222"/>
          <w:sz w:val="20"/>
          <w:szCs w:val="20"/>
          <w:lang w:eastAsia="es-MX"/>
        </w:rPr>
        <w:t>N</w:t>
      </w:r>
      <w:r w:rsidRPr="005E4983">
        <w:rPr>
          <w:rFonts w:ascii="Century Gothic" w:hAnsi="Century Gothic"/>
          <w:bCs/>
          <w:color w:val="222222"/>
          <w:sz w:val="20"/>
          <w:szCs w:val="20"/>
          <w:lang w:eastAsia="es-MX"/>
        </w:rPr>
        <w:t>o se aceptan equipos por separado.</w:t>
      </w:r>
    </w:p>
    <w:p w14:paraId="163EFF4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 xml:space="preserve">Cumplimiento con la norma internacional SAE J-1849. </w:t>
      </w:r>
    </w:p>
    <w:p w14:paraId="09D3453F"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2 años de garantía.</w:t>
      </w:r>
    </w:p>
    <w:p w14:paraId="0914333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66FCA635"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Tablero de control:</w:t>
      </w:r>
    </w:p>
    <w:p w14:paraId="05811D1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Diseño compacto para la operación de las funciones de la sirena, con mínimo 3 switches de tacto con indicador de función, 2 switches para tonos de sirena y 1 para señalización visual, con iluminación de tablero para operaciones nocturna y resistente a la intemperie.</w:t>
      </w:r>
    </w:p>
    <w:p w14:paraId="4544D889"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2 años de garantía.</w:t>
      </w:r>
    </w:p>
    <w:p w14:paraId="7D33E4EB"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4AE213D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5E1F09EC"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Lámparas de leds delanteras y traseras:</w:t>
      </w:r>
    </w:p>
    <w:p w14:paraId="67CC8A2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Dos lámparas delanteras una roja y una azul con las siguientes características: lámpara encapsulada con mínimo 3 leds IV generación, Flasher electrónico integrado, con mínimo 8 patrones de flasheo y capacidad para operar en forma sincronizada.</w:t>
      </w:r>
    </w:p>
    <w:p w14:paraId="15D0C18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 xml:space="preserve">Cumplimiento de la norma internacional SAE J-845. </w:t>
      </w:r>
    </w:p>
    <w:p w14:paraId="049C372D"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5 años de garantía.</w:t>
      </w:r>
    </w:p>
    <w:p w14:paraId="77FD6D7F"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505E8B29"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Dos lámparas traseras una roja y una azul con las siguientes características: lámpara encapsulada con mínimo 3 leds IV generación, Flasher electrónico integrado, con mínimo 8 patrones de flasheo y capacidad para operar en forma sincronizada.</w:t>
      </w:r>
    </w:p>
    <w:p w14:paraId="5EBFE56A"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 xml:space="preserve">Cumplimiento de la norma internacional SAE J-845. </w:t>
      </w:r>
    </w:p>
    <w:p w14:paraId="02D1082D"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5 años de garantía.</w:t>
      </w:r>
    </w:p>
    <w:p w14:paraId="283352B5"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53F8B19D"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Farola de led para motopatrulla:</w:t>
      </w:r>
    </w:p>
    <w:p w14:paraId="06C2A5F0"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Farola beacon de led con mínimo 12 leds color rojo, con un rango de vida de mínimo 100,000 horas, dispersión de luz de 360°, base de policarbonato en color negro, con mínimo 20 patrones TN de flasheo, capacidad de sincronización, con montaje permanente, voltaje de entrada de 10 a 30 VDC.</w:t>
      </w:r>
    </w:p>
    <w:p w14:paraId="746489C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 xml:space="preserve">Cumplimiento de la norma internacional SAE J-845. </w:t>
      </w:r>
    </w:p>
    <w:p w14:paraId="50059956"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5 años de garantía.</w:t>
      </w:r>
    </w:p>
    <w:p w14:paraId="01D86B90"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66A31554"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Parabrisas</w:t>
      </w:r>
    </w:p>
    <w:p w14:paraId="1976233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Parabrisas policial de alta resistencia para protección de viento, anti-ralladuras, adaptación original según modelo con mínimo cuatro puntos de montaje.</w:t>
      </w:r>
    </w:p>
    <w:p w14:paraId="6430D9F4"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2 años de garantía.</w:t>
      </w:r>
    </w:p>
    <w:p w14:paraId="41264699"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p>
    <w:p w14:paraId="746F371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
          <w:color w:val="222222"/>
          <w:sz w:val="20"/>
          <w:szCs w:val="20"/>
          <w:lang w:eastAsia="es-MX"/>
        </w:rPr>
        <w:lastRenderedPageBreak/>
        <w:t>Defensa lateral para motocicleta</w:t>
      </w:r>
      <w:r w:rsidRPr="005E4983">
        <w:rPr>
          <w:rFonts w:ascii="Century Gothic" w:hAnsi="Century Gothic"/>
          <w:bCs/>
          <w:color w:val="222222"/>
          <w:sz w:val="20"/>
          <w:szCs w:val="20"/>
          <w:lang w:eastAsia="es-MX"/>
        </w:rPr>
        <w:t>:</w:t>
      </w:r>
    </w:p>
    <w:p w14:paraId="69A07F0F"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Defensa para motocicleta fabricados con tubo metálico reforzado, diseñado para maximizar la protección de la motocicleta.</w:t>
      </w:r>
    </w:p>
    <w:p w14:paraId="4D375444"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1 año de garantía.</w:t>
      </w:r>
    </w:p>
    <w:p w14:paraId="5EA88B2B"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02EFE1FE"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Mochilas laterales:</w:t>
      </w:r>
    </w:p>
    <w:p w14:paraId="47BD79EE"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Set de 2 maletas desmontables con capacidad de carga de hasta 10 kg., capacidad de almacenamiento de 28 Lts., con cerradura de acero inoxidable y asas para su operación, con forro interior para protección, con clips en la parte superior para montar redes, de material plástico de alta resistencia a la intemperie en color negro o negro/plata.</w:t>
      </w:r>
    </w:p>
    <w:p w14:paraId="4AFB833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Cintas interiores con broche para sujeción de pertenencias.</w:t>
      </w:r>
    </w:p>
    <w:p w14:paraId="2DE4D694"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Bisagras plásticas con pernos metálicos.</w:t>
      </w:r>
    </w:p>
    <w:p w14:paraId="3F08B53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Cable plástico para sujeción de apertura en tapa.</w:t>
      </w:r>
    </w:p>
    <w:p w14:paraId="4C1C194D"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Soporte de uso rudo específico para la colocación en motocicleta, con pintura horneada de alta resistencia.</w:t>
      </w:r>
    </w:p>
    <w:p w14:paraId="70E40427" w14:textId="77777777" w:rsidR="00453B39" w:rsidRPr="005E4983" w:rsidRDefault="00453B39" w:rsidP="00453B39">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Medidas de 43cm de largo x 24cm ancho x 32cm de altura +/-5%.</w:t>
      </w:r>
    </w:p>
    <w:p w14:paraId="647A5CDC"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1 año de garantía.</w:t>
      </w:r>
    </w:p>
    <w:p w14:paraId="3052890A" w14:textId="77777777" w:rsidR="00453B39" w:rsidRDefault="00453B39" w:rsidP="00453B39">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Debe contar con todo lo necesario para su instalación, por lo que los materiales que se utilicen para su instalación deberán ser en material de alta resistencia ajustada con tuercas de seguridad.</w:t>
      </w:r>
    </w:p>
    <w:p w14:paraId="45494C7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28069A2A"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Caja tipo top-case:</w:t>
      </w:r>
    </w:p>
    <w:p w14:paraId="2055148D"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Con capacidad de carga de hasta 8 kg., capacidad de almacenamiento de 33 Lts., con cerradura de acero inoxidable, de material plástico de inyección de alta resistencia en color negro, acrílico en color rojo en tapa.</w:t>
      </w:r>
    </w:p>
    <w:p w14:paraId="7B023026"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Base plástica de alta resistencia fast lock. 27 de largo x 24 ancho x 5 cm de alto.</w:t>
      </w:r>
    </w:p>
    <w:p w14:paraId="1DFE1439"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Parrilla metálica de alta resistencia con tuercas de seguridad.</w:t>
      </w:r>
    </w:p>
    <w:p w14:paraId="375A9045"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Broche de plástico cerrado frontal.</w:t>
      </w:r>
    </w:p>
    <w:p w14:paraId="285D7E6F"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Cable plástico para sujeción de apertura en tapa.</w:t>
      </w:r>
    </w:p>
    <w:p w14:paraId="0CA560CC" w14:textId="77777777" w:rsidR="00453B39" w:rsidRPr="005E4983" w:rsidRDefault="00453B39" w:rsidP="00453B39">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Medidas de 37cm de largo x 32cm ancho x 32cm de altura +/-5%.</w:t>
      </w:r>
    </w:p>
    <w:p w14:paraId="40984255" w14:textId="29CC20EE" w:rsidR="0005235C" w:rsidRPr="005E4983" w:rsidRDefault="00DD20C1" w:rsidP="00DD20C1">
      <w:pPr>
        <w:shd w:val="clear" w:color="auto" w:fill="FFFFFF"/>
        <w:spacing w:line="240" w:lineRule="auto"/>
        <w:contextualSpacing/>
        <w:jc w:val="both"/>
        <w:rPr>
          <w:rFonts w:ascii="Century Gothic" w:hAnsi="Century Gothic"/>
          <w:bCs/>
        </w:rPr>
      </w:pPr>
      <w:r w:rsidRPr="005E4983">
        <w:rPr>
          <w:rFonts w:ascii="Century Gothic" w:hAnsi="Century Gothic"/>
          <w:bCs/>
          <w:color w:val="222222"/>
          <w:sz w:val="20"/>
          <w:szCs w:val="20"/>
          <w:lang w:eastAsia="es-MX"/>
        </w:rPr>
        <w:t>1 año de garantía.</w:t>
      </w:r>
    </w:p>
    <w:p w14:paraId="0B700191" w14:textId="77777777" w:rsidR="00453B39" w:rsidRPr="005E4983" w:rsidRDefault="00453B39" w:rsidP="00453B39">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Debe contar con todo lo necesario para su instalación, por lo que los materiales que se utilicen para su instalación deberán ser en material de alta resistencia ajustada con tuercas de seguridad.</w:t>
      </w:r>
    </w:p>
    <w:p w14:paraId="5C51F6D3" w14:textId="77777777" w:rsidR="00DD20C1" w:rsidRPr="005E4983" w:rsidRDefault="00DD20C1" w:rsidP="00DD20C1">
      <w:pPr>
        <w:spacing w:line="240" w:lineRule="auto"/>
        <w:contextualSpacing/>
        <w:jc w:val="both"/>
        <w:rPr>
          <w:rFonts w:ascii="Century Gothic" w:eastAsia="Arial" w:hAnsi="Century Gothic" w:cs="Arial"/>
          <w:color w:val="222222"/>
          <w:sz w:val="20"/>
          <w:szCs w:val="20"/>
          <w:lang w:val="es-ES" w:eastAsia="es-MX" w:bidi="es-ES"/>
        </w:rPr>
      </w:pPr>
    </w:p>
    <w:p w14:paraId="18C1A12C"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Color de las unidades de acuerdo con manual de identidad que será entregado a proveedor adjudicado, con pintura a puerta abierta.</w:t>
      </w:r>
    </w:p>
    <w:p w14:paraId="43947F0C"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Se solicita garantía del vehículo por 1 año.</w:t>
      </w:r>
    </w:p>
    <w:p w14:paraId="1846E89D"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Balizamiento de acuerdo con manual de identidad.</w:t>
      </w:r>
    </w:p>
    <w:p w14:paraId="64DF9BEF"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Deberá contar con todos los elementos necesarios para la instalación de los equipos y mantener la garantía del fabricante.</w:t>
      </w:r>
    </w:p>
    <w:p w14:paraId="7FFE20EA"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Deberá contener todo lo necesario para la instalación eléctrica y suficiente capacidad para recibir los equipos electrónicos que se incorporen.</w:t>
      </w:r>
    </w:p>
    <w:p w14:paraId="79878D06"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Deberán ser entregados con el tanque de gasolina lleno.</w:t>
      </w:r>
    </w:p>
    <w:p w14:paraId="0290088C" w14:textId="77777777" w:rsidR="00AA17D3" w:rsidRPr="005E4983" w:rsidRDefault="00AA17D3" w:rsidP="00AA17D3">
      <w:pPr>
        <w:spacing w:line="240" w:lineRule="auto"/>
        <w:contextualSpacing/>
        <w:jc w:val="both"/>
        <w:rPr>
          <w:rFonts w:ascii="Century Gothic" w:hAnsi="Century Gothic"/>
        </w:rPr>
      </w:pPr>
      <w:bookmarkStart w:id="0" w:name="_GoBack"/>
      <w:bookmarkEnd w:id="0"/>
    </w:p>
    <w:sectPr w:rsidR="00AA17D3" w:rsidRPr="005E4983" w:rsidSect="00171D9A">
      <w:footerReference w:type="default" r:id="rId7"/>
      <w:pgSz w:w="12240" w:h="15840"/>
      <w:pgMar w:top="1417" w:right="1701" w:bottom="1417" w:left="1701"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AF6DC" w14:textId="77777777" w:rsidR="00DD722E" w:rsidRDefault="00DD722E" w:rsidP="00171D9A">
      <w:pPr>
        <w:spacing w:after="0" w:line="240" w:lineRule="auto"/>
      </w:pPr>
      <w:r>
        <w:separator/>
      </w:r>
    </w:p>
  </w:endnote>
  <w:endnote w:type="continuationSeparator" w:id="0">
    <w:p w14:paraId="7AA128E4" w14:textId="77777777" w:rsidR="00DD722E" w:rsidRDefault="00DD722E" w:rsidP="00171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290A2" w14:textId="77777777" w:rsidR="00171D9A" w:rsidRDefault="00171D9A">
    <w:pPr>
      <w:pStyle w:val="Piedepgina"/>
      <w:jc w:val="center"/>
      <w:rPr>
        <w:color w:val="5B9BD5" w:themeColor="accent1"/>
      </w:rPr>
    </w:pPr>
    <w:r>
      <w:rPr>
        <w:color w:val="5B9BD5" w:themeColor="accent1"/>
        <w:lang w:val="es-ES"/>
      </w:rPr>
      <w:t xml:space="preserve">Página </w:t>
    </w:r>
    <w:r>
      <w:rPr>
        <w:color w:val="5B9BD5" w:themeColor="accent1"/>
      </w:rPr>
      <w:fldChar w:fldCharType="begin"/>
    </w:r>
    <w:r>
      <w:rPr>
        <w:color w:val="5B9BD5" w:themeColor="accent1"/>
      </w:rPr>
      <w:instrText>PAGE  \* Arabic  \* MERGEFORMAT</w:instrText>
    </w:r>
    <w:r>
      <w:rPr>
        <w:color w:val="5B9BD5" w:themeColor="accent1"/>
      </w:rPr>
      <w:fldChar w:fldCharType="separate"/>
    </w:r>
    <w:r w:rsidR="00961952" w:rsidRPr="00961952">
      <w:rPr>
        <w:noProof/>
        <w:color w:val="5B9BD5" w:themeColor="accent1"/>
        <w:lang w:val="es-ES"/>
      </w:rPr>
      <w:t>2</w:t>
    </w:r>
    <w:r>
      <w:rPr>
        <w:color w:val="5B9BD5" w:themeColor="accent1"/>
      </w:rPr>
      <w:fldChar w:fldCharType="end"/>
    </w:r>
    <w:r>
      <w:rPr>
        <w:color w:val="5B9BD5" w:themeColor="accent1"/>
        <w:lang w:val="es-ES"/>
      </w:rPr>
      <w:t xml:space="preserve"> de </w:t>
    </w:r>
    <w:r>
      <w:rPr>
        <w:color w:val="5B9BD5" w:themeColor="accent1"/>
      </w:rPr>
      <w:fldChar w:fldCharType="begin"/>
    </w:r>
    <w:r>
      <w:rPr>
        <w:color w:val="5B9BD5" w:themeColor="accent1"/>
      </w:rPr>
      <w:instrText>NUMPAGES  \* Arabic  \* MERGEFORMAT</w:instrText>
    </w:r>
    <w:r>
      <w:rPr>
        <w:color w:val="5B9BD5" w:themeColor="accent1"/>
      </w:rPr>
      <w:fldChar w:fldCharType="separate"/>
    </w:r>
    <w:r w:rsidR="00961952" w:rsidRPr="00961952">
      <w:rPr>
        <w:noProof/>
        <w:color w:val="5B9BD5" w:themeColor="accent1"/>
        <w:lang w:val="es-ES"/>
      </w:rPr>
      <w:t>2</w:t>
    </w:r>
    <w:r>
      <w:rPr>
        <w:color w:val="5B9BD5" w:themeColor="accent1"/>
      </w:rPr>
      <w:fldChar w:fldCharType="end"/>
    </w:r>
  </w:p>
  <w:p w14:paraId="1BCB87D6" w14:textId="77777777" w:rsidR="00171D9A" w:rsidRDefault="00171D9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749BB" w14:textId="77777777" w:rsidR="00DD722E" w:rsidRDefault="00DD722E" w:rsidP="00171D9A">
      <w:pPr>
        <w:spacing w:after="0" w:line="240" w:lineRule="auto"/>
      </w:pPr>
      <w:r>
        <w:separator/>
      </w:r>
    </w:p>
  </w:footnote>
  <w:footnote w:type="continuationSeparator" w:id="0">
    <w:p w14:paraId="0BA26E0F" w14:textId="77777777" w:rsidR="00DD722E" w:rsidRDefault="00DD722E" w:rsidP="00171D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45FCB"/>
    <w:multiLevelType w:val="hybridMultilevel"/>
    <w:tmpl w:val="6D442F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82B2FD9"/>
    <w:multiLevelType w:val="hybridMultilevel"/>
    <w:tmpl w:val="B04AB4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4211B5D"/>
    <w:multiLevelType w:val="hybridMultilevel"/>
    <w:tmpl w:val="010EBC82"/>
    <w:lvl w:ilvl="0" w:tplc="67BC0FC0">
      <w:numFmt w:val="bullet"/>
      <w:lvlText w:val="●"/>
      <w:lvlJc w:val="left"/>
      <w:pPr>
        <w:ind w:left="623" w:hanging="164"/>
      </w:pPr>
      <w:rPr>
        <w:rFonts w:ascii="MS UI Gothic" w:eastAsia="MS UI Gothic" w:hAnsi="MS UI Gothic" w:cs="MS UI Gothic" w:hint="default"/>
        <w:w w:val="99"/>
        <w:position w:val="1"/>
        <w:sz w:val="13"/>
        <w:szCs w:val="13"/>
        <w:lang w:val="es-ES" w:eastAsia="es-ES" w:bidi="es-ES"/>
      </w:rPr>
    </w:lvl>
    <w:lvl w:ilvl="1" w:tplc="BA5257D8">
      <w:numFmt w:val="bullet"/>
      <w:lvlText w:val="•"/>
      <w:lvlJc w:val="left"/>
      <w:pPr>
        <w:ind w:left="1650" w:hanging="164"/>
      </w:pPr>
      <w:rPr>
        <w:rFonts w:hint="default"/>
        <w:lang w:val="es-ES" w:eastAsia="es-ES" w:bidi="es-ES"/>
      </w:rPr>
    </w:lvl>
    <w:lvl w:ilvl="2" w:tplc="767CFC08">
      <w:numFmt w:val="bullet"/>
      <w:lvlText w:val="•"/>
      <w:lvlJc w:val="left"/>
      <w:pPr>
        <w:ind w:left="2680" w:hanging="164"/>
      </w:pPr>
      <w:rPr>
        <w:rFonts w:hint="default"/>
        <w:lang w:val="es-ES" w:eastAsia="es-ES" w:bidi="es-ES"/>
      </w:rPr>
    </w:lvl>
    <w:lvl w:ilvl="3" w:tplc="72BAD22A">
      <w:numFmt w:val="bullet"/>
      <w:lvlText w:val="•"/>
      <w:lvlJc w:val="left"/>
      <w:pPr>
        <w:ind w:left="3710" w:hanging="164"/>
      </w:pPr>
      <w:rPr>
        <w:rFonts w:hint="default"/>
        <w:lang w:val="es-ES" w:eastAsia="es-ES" w:bidi="es-ES"/>
      </w:rPr>
    </w:lvl>
    <w:lvl w:ilvl="4" w:tplc="418E7466">
      <w:numFmt w:val="bullet"/>
      <w:lvlText w:val="•"/>
      <w:lvlJc w:val="left"/>
      <w:pPr>
        <w:ind w:left="4740" w:hanging="164"/>
      </w:pPr>
      <w:rPr>
        <w:rFonts w:hint="default"/>
        <w:lang w:val="es-ES" w:eastAsia="es-ES" w:bidi="es-ES"/>
      </w:rPr>
    </w:lvl>
    <w:lvl w:ilvl="5" w:tplc="D3FC2002">
      <w:numFmt w:val="bullet"/>
      <w:lvlText w:val="•"/>
      <w:lvlJc w:val="left"/>
      <w:pPr>
        <w:ind w:left="5770" w:hanging="164"/>
      </w:pPr>
      <w:rPr>
        <w:rFonts w:hint="default"/>
        <w:lang w:val="es-ES" w:eastAsia="es-ES" w:bidi="es-ES"/>
      </w:rPr>
    </w:lvl>
    <w:lvl w:ilvl="6" w:tplc="54DAA394">
      <w:numFmt w:val="bullet"/>
      <w:lvlText w:val="•"/>
      <w:lvlJc w:val="left"/>
      <w:pPr>
        <w:ind w:left="6800" w:hanging="164"/>
      </w:pPr>
      <w:rPr>
        <w:rFonts w:hint="default"/>
        <w:lang w:val="es-ES" w:eastAsia="es-ES" w:bidi="es-ES"/>
      </w:rPr>
    </w:lvl>
    <w:lvl w:ilvl="7" w:tplc="D760F67C">
      <w:numFmt w:val="bullet"/>
      <w:lvlText w:val="•"/>
      <w:lvlJc w:val="left"/>
      <w:pPr>
        <w:ind w:left="7830" w:hanging="164"/>
      </w:pPr>
      <w:rPr>
        <w:rFonts w:hint="default"/>
        <w:lang w:val="es-ES" w:eastAsia="es-ES" w:bidi="es-ES"/>
      </w:rPr>
    </w:lvl>
    <w:lvl w:ilvl="8" w:tplc="81FAE742">
      <w:numFmt w:val="bullet"/>
      <w:lvlText w:val="•"/>
      <w:lvlJc w:val="left"/>
      <w:pPr>
        <w:ind w:left="8860" w:hanging="164"/>
      </w:pPr>
      <w:rPr>
        <w:rFonts w:hint="default"/>
        <w:lang w:val="es-ES" w:eastAsia="es-ES" w:bidi="es-ES"/>
      </w:rPr>
    </w:lvl>
  </w:abstractNum>
  <w:abstractNum w:abstractNumId="3" w15:restartNumberingAfterBreak="0">
    <w:nsid w:val="52B362B4"/>
    <w:multiLevelType w:val="hybridMultilevel"/>
    <w:tmpl w:val="4608F116"/>
    <w:lvl w:ilvl="0" w:tplc="93B0409E">
      <w:numFmt w:val="bullet"/>
      <w:lvlText w:val="•"/>
      <w:lvlJc w:val="left"/>
      <w:pPr>
        <w:ind w:left="855" w:hanging="600"/>
      </w:pPr>
      <w:rPr>
        <w:rFonts w:ascii="Arial" w:eastAsia="Arial" w:hAnsi="Arial" w:cs="Aria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4" w15:restartNumberingAfterBreak="0">
    <w:nsid w:val="587967DE"/>
    <w:multiLevelType w:val="hybridMultilevel"/>
    <w:tmpl w:val="FA3ED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CA0"/>
    <w:rsid w:val="00012009"/>
    <w:rsid w:val="00027E08"/>
    <w:rsid w:val="0005235C"/>
    <w:rsid w:val="00171D9A"/>
    <w:rsid w:val="00250C11"/>
    <w:rsid w:val="0034167C"/>
    <w:rsid w:val="00453B39"/>
    <w:rsid w:val="00484953"/>
    <w:rsid w:val="00524F0C"/>
    <w:rsid w:val="005E4983"/>
    <w:rsid w:val="005F4F4A"/>
    <w:rsid w:val="00747E99"/>
    <w:rsid w:val="00961952"/>
    <w:rsid w:val="009945B9"/>
    <w:rsid w:val="009A377F"/>
    <w:rsid w:val="00AA17D3"/>
    <w:rsid w:val="00BD3952"/>
    <w:rsid w:val="00D03CA0"/>
    <w:rsid w:val="00DC15EF"/>
    <w:rsid w:val="00DD20C1"/>
    <w:rsid w:val="00DD722E"/>
    <w:rsid w:val="00F441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35E2"/>
  <w15:chartTrackingRefBased/>
  <w15:docId w15:val="{8F764F3F-F330-4D62-9662-6126BA26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1"/>
    <w:qFormat/>
    <w:rsid w:val="00D03CA0"/>
    <w:pPr>
      <w:widowControl w:val="0"/>
      <w:autoSpaceDE w:val="0"/>
      <w:autoSpaceDN w:val="0"/>
      <w:spacing w:before="94" w:after="0" w:line="240" w:lineRule="auto"/>
      <w:ind w:left="113"/>
      <w:outlineLvl w:val="0"/>
    </w:pPr>
    <w:rPr>
      <w:rFonts w:ascii="Arial" w:eastAsia="Arial" w:hAnsi="Arial" w:cs="Arial"/>
      <w:b/>
      <w:bCs/>
      <w:sz w:val="18"/>
      <w:szCs w:val="18"/>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D03CA0"/>
    <w:rPr>
      <w:rFonts w:ascii="Arial" w:eastAsia="Arial" w:hAnsi="Arial" w:cs="Arial"/>
      <w:b/>
      <w:bCs/>
      <w:sz w:val="18"/>
      <w:szCs w:val="18"/>
      <w:lang w:val="es-ES" w:eastAsia="es-ES" w:bidi="es-ES"/>
    </w:rPr>
  </w:style>
  <w:style w:type="paragraph" w:styleId="Prrafodelista">
    <w:name w:val="List Paragraph"/>
    <w:basedOn w:val="Normal"/>
    <w:uiPriority w:val="1"/>
    <w:qFormat/>
    <w:rsid w:val="00524F0C"/>
    <w:pPr>
      <w:widowControl w:val="0"/>
      <w:autoSpaceDE w:val="0"/>
      <w:autoSpaceDN w:val="0"/>
      <w:spacing w:after="0" w:line="196" w:lineRule="exact"/>
      <w:ind w:left="623" w:hanging="164"/>
    </w:pPr>
    <w:rPr>
      <w:rFonts w:ascii="Arial" w:eastAsia="Arial" w:hAnsi="Arial" w:cs="Arial"/>
      <w:lang w:val="es-ES" w:eastAsia="es-ES" w:bidi="es-ES"/>
    </w:rPr>
  </w:style>
  <w:style w:type="paragraph" w:styleId="Textoindependiente">
    <w:name w:val="Body Text"/>
    <w:basedOn w:val="Normal"/>
    <w:link w:val="TextoindependienteCar"/>
    <w:uiPriority w:val="1"/>
    <w:qFormat/>
    <w:rsid w:val="00484953"/>
    <w:pPr>
      <w:widowControl w:val="0"/>
      <w:autoSpaceDE w:val="0"/>
      <w:autoSpaceDN w:val="0"/>
      <w:spacing w:after="0" w:line="240" w:lineRule="auto"/>
      <w:ind w:left="140"/>
    </w:pPr>
    <w:rPr>
      <w:rFonts w:ascii="Arial" w:eastAsia="Arial" w:hAnsi="Arial" w:cs="Arial"/>
      <w:sz w:val="18"/>
      <w:szCs w:val="18"/>
      <w:lang w:val="es-ES" w:eastAsia="es-ES" w:bidi="es-ES"/>
    </w:rPr>
  </w:style>
  <w:style w:type="character" w:customStyle="1" w:styleId="TextoindependienteCar">
    <w:name w:val="Texto independiente Car"/>
    <w:basedOn w:val="Fuentedeprrafopredeter"/>
    <w:link w:val="Textoindependiente"/>
    <w:uiPriority w:val="1"/>
    <w:rsid w:val="00484953"/>
    <w:rPr>
      <w:rFonts w:ascii="Arial" w:eastAsia="Arial" w:hAnsi="Arial" w:cs="Arial"/>
      <w:sz w:val="18"/>
      <w:szCs w:val="18"/>
      <w:lang w:val="es-ES" w:eastAsia="es-ES" w:bidi="es-ES"/>
    </w:rPr>
  </w:style>
  <w:style w:type="paragraph" w:styleId="Encabezado">
    <w:name w:val="header"/>
    <w:basedOn w:val="Normal"/>
    <w:link w:val="EncabezadoCar"/>
    <w:uiPriority w:val="99"/>
    <w:unhideWhenUsed/>
    <w:rsid w:val="00171D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1D9A"/>
  </w:style>
  <w:style w:type="paragraph" w:styleId="Piedepgina">
    <w:name w:val="footer"/>
    <w:basedOn w:val="Normal"/>
    <w:link w:val="PiedepginaCar"/>
    <w:uiPriority w:val="99"/>
    <w:unhideWhenUsed/>
    <w:rsid w:val="00171D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1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700</Words>
  <Characters>3853</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ANTOLINO SANCHEZ SANCHEZ</cp:lastModifiedBy>
  <cp:revision>20</cp:revision>
  <cp:lastPrinted>2024-04-29T17:07:00Z</cp:lastPrinted>
  <dcterms:created xsi:type="dcterms:W3CDTF">2022-08-09T16:45:00Z</dcterms:created>
  <dcterms:modified xsi:type="dcterms:W3CDTF">2024-10-03T16:55:00Z</dcterms:modified>
</cp:coreProperties>
</file>